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855"/>
        </w:tabs>
        <w:snapToGrid w:val="0"/>
        <w:jc w:val="center"/>
        <w:rPr>
          <w:rFonts w:ascii="思源黑体 CN ExtraLight" w:hAnsi="思源黑体 CN ExtraLight" w:eastAsia="思源黑体 CN ExtraLight" w:cs="Arial"/>
          <w:b/>
          <w:bCs/>
          <w:color w:val="00CC99"/>
          <w:sz w:val="72"/>
          <w:szCs w:val="72"/>
        </w:rPr>
      </w:pPr>
      <w:r>
        <w:rPr>
          <w:rFonts w:hint="eastAsia" w:ascii="思源黑体 CN ExtraLight" w:hAnsi="思源黑体 CN ExtraLight" w:eastAsia="思源黑体 CN ExtraLight" w:cs="Arial"/>
          <w:b/>
          <w:bCs/>
          <w:color w:val="00CC99"/>
          <w:sz w:val="72"/>
          <w:szCs w:val="72"/>
        </w:rPr>
        <w:t>国际贸易实务运作研修班</w:t>
      </w:r>
    </w:p>
    <w:p>
      <w:pPr>
        <w:snapToGrid w:val="0"/>
        <w:spacing w:line="360" w:lineRule="exact"/>
        <w:ind w:left="360"/>
        <w:jc w:val="center"/>
        <w:rPr>
          <w:rFonts w:ascii="思源黑体 CN ExtraLight" w:hAnsi="思源黑体 CN ExtraLight" w:eastAsia="思源黑体 CN ExtraLight" w:cs="Arial"/>
          <w:b/>
          <w:bCs/>
          <w:color w:val="00CC99"/>
          <w:sz w:val="36"/>
          <w:szCs w:val="36"/>
        </w:rPr>
      </w:pPr>
      <w:r>
        <w:rPr>
          <w:rFonts w:hint="eastAsia" w:ascii="思源黑体 CN ExtraLight" w:hAnsi="思源黑体 CN ExtraLight" w:eastAsia="思源黑体 CN ExtraLight"/>
          <w:color w:val="00CC99"/>
          <w:sz w:val="36"/>
          <w:szCs w:val="36"/>
        </w:rPr>
        <w:t xml:space="preserve">   </w:t>
      </w:r>
      <w:r>
        <w:rPr>
          <w:rFonts w:ascii="思源黑体 CN ExtraLight" w:hAnsi="思源黑体 CN ExtraLight" w:eastAsia="思源黑体 CN ExtraLight" w:cs="Arial"/>
          <w:b/>
          <w:bCs/>
          <w:color w:val="00CC99"/>
          <w:sz w:val="36"/>
          <w:szCs w:val="36"/>
        </w:rPr>
        <w:t>International Senior Workshop for Trade Practice</w:t>
      </w:r>
    </w:p>
    <w:p>
      <w:pPr>
        <w:tabs>
          <w:tab w:val="left" w:pos="6855"/>
        </w:tabs>
        <w:snapToGrid w:val="0"/>
        <w:jc w:val="right"/>
        <w:rPr>
          <w:rFonts w:ascii="微软雅黑" w:hAnsi="微软雅黑" w:eastAsia="微软雅黑" w:cs="Arial"/>
          <w:b/>
          <w:color w:val="595959"/>
          <w:sz w:val="18"/>
          <w:szCs w:val="18"/>
        </w:rPr>
      </w:pPr>
      <w:r>
        <w:rPr>
          <w:rFonts w:hint="eastAsia" w:ascii="微软雅黑" w:hAnsi="微软雅黑" w:eastAsia="微软雅黑" w:cs="Arial"/>
          <w:b/>
          <w:color w:val="595959"/>
          <w:sz w:val="18"/>
          <w:szCs w:val="18"/>
        </w:rPr>
        <w:t>----暨国际贸易进出口全流程系统培训课程</w:t>
      </w:r>
    </w:p>
    <w:p>
      <w:pPr>
        <w:tabs>
          <w:tab w:val="left" w:pos="6495"/>
        </w:tabs>
        <w:snapToGrid w:val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【培训时间】：2015年：</w:t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Cs w:val="21"/>
        </w:rPr>
        <w:t>9月18-20日北京</w:t>
      </w:r>
      <w:r>
        <w:rPr>
          <w:rFonts w:ascii="微软雅黑" w:hAnsi="微软雅黑" w:eastAsia="微软雅黑"/>
          <w:szCs w:val="21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10月23-25深圳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ascii="微软雅黑" w:hAnsi="微软雅黑" w:eastAsia="微软雅黑"/>
          <w:szCs w:val="21"/>
        </w:rPr>
        <w:t xml:space="preserve">    </w:t>
      </w:r>
    </w:p>
    <w:p>
      <w:pPr>
        <w:tabs>
          <w:tab w:val="left" w:pos="6495"/>
        </w:tabs>
        <w:snapToGrid w:val="0"/>
        <w:ind w:firstLine="2100" w:firstLineChars="1000"/>
        <w:jc w:val="left"/>
        <w:rPr>
          <w:rFonts w:ascii="微软雅黑" w:hAnsi="微软雅黑" w:eastAsia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szCs w:val="21"/>
        </w:rPr>
        <w:t>11月27-29日上海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>12月18-20日北京</w:t>
      </w:r>
    </w:p>
    <w:p>
      <w:pPr>
        <w:tabs>
          <w:tab w:val="left" w:pos="6855"/>
        </w:tabs>
        <w:snapToGrid w:val="0"/>
        <w:jc w:val="left"/>
        <w:rPr>
          <w:rFonts w:ascii="微软雅黑" w:hAnsi="微软雅黑" w:eastAsia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【</w:t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>培训费用</w:t>
      </w: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】：</w:t>
      </w:r>
      <w:r>
        <w:rPr>
          <w:rFonts w:hint="eastAsia" w:ascii="微软雅黑" w:hAnsi="微软雅黑" w:eastAsia="微软雅黑" w:cs="Arial"/>
          <w:bCs/>
          <w:color w:val="595959"/>
          <w:sz w:val="18"/>
          <w:szCs w:val="18"/>
        </w:rPr>
        <w:t xml:space="preserve">4980元/人（资料，午餐，茶点） </w:t>
      </w:r>
      <w:r>
        <w:rPr>
          <w:rFonts w:ascii="微软雅黑" w:hAnsi="微软雅黑" w:eastAsia="微软雅黑" w:cs="Arial"/>
          <w:bCs/>
          <w:color w:val="595959"/>
          <w:sz w:val="18"/>
          <w:szCs w:val="18"/>
        </w:rPr>
        <w:t xml:space="preserve">    </w:t>
      </w:r>
    </w:p>
    <w:p>
      <w:pPr>
        <w:tabs>
          <w:tab w:val="left" w:pos="6855"/>
        </w:tabs>
        <w:snapToGrid w:val="0"/>
        <w:jc w:val="left"/>
        <w:rPr>
          <w:rFonts w:ascii="微软雅黑" w:hAnsi="微软雅黑" w:eastAsia="微软雅黑" w:cs="Arial"/>
          <w:b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 xml:space="preserve">【主办机构】： 西安世商管理咨询有限公司   </w:t>
      </w:r>
      <w:r>
        <w:fldChar w:fldCharType="begin"/>
      </w:r>
      <w:r>
        <w:instrText xml:space="preserve">HYPERLINK "http://www.wtt6.com/" </w:instrText>
      </w:r>
      <w:r>
        <w:fldChar w:fldCharType="separate"/>
      </w:r>
      <w:r>
        <w:rPr>
          <w:rStyle w:val="8"/>
          <w:rFonts w:hint="eastAsia" w:ascii="微软雅黑" w:hAnsi="微软雅黑" w:eastAsia="微软雅黑" w:cs="Arial"/>
          <w:b/>
          <w:bCs/>
          <w:sz w:val="18"/>
          <w:szCs w:val="18"/>
        </w:rPr>
        <w:t>www.wtt6.com</w:t>
      </w:r>
      <w:r>
        <w:fldChar w:fldCharType="end"/>
      </w:r>
    </w:p>
    <w:p>
      <w:pPr>
        <w:tabs>
          <w:tab w:val="left" w:pos="6855"/>
        </w:tabs>
        <w:snapToGrid w:val="0"/>
        <w:jc w:val="left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【培训对象】：</w:t>
      </w: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企业总经理、采购物流、外销、市场、清关、财务、法律、进出口、国际贸易相关部门人士；</w:t>
      </w:r>
    </w:p>
    <w:p>
      <w:pPr>
        <w:snapToGrid w:val="0"/>
        <w:rPr>
          <w:rStyle w:val="16"/>
          <w:rFonts w:ascii="微软雅黑" w:hAnsi="微软雅黑" w:eastAsia="微软雅黑" w:cs="Arial"/>
          <w:color w:val="595959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【课程目标】：</w:t>
      </w: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随着全球贸易一体化的加深，保护主义抬头，战乱，政乱等不稳定因素的也在加剧，中国企业进出口经营权的进一步放开，使得中国企业未来将更多的参与高收益、高难度同时也存在高风险的国际市场。然而众多进出口企业人员往往因实战技能不成熟、操作不当造成更多不必要的麻烦，每天都在“心惊胆颤”的工作，经常都在处理“意外”！如何在乱世中成英雄？炼就金钢不败之身，高效稳健的处理进出口活动中发生的一切，全面系统掌握进出口各环节操作要点和技巧，做一个进出口全程都有把握的专业人士，就是我们的核心目标</w:t>
      </w:r>
    </w:p>
    <w:p>
      <w:pPr>
        <w:snapToGrid w:val="0"/>
        <w:rPr>
          <w:rFonts w:ascii="微软雅黑" w:hAnsi="微软雅黑" w:eastAsia="微软雅黑"/>
          <w:b/>
          <w:color w:val="595959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【</w:t>
      </w:r>
      <w:r>
        <w:rPr>
          <w:rFonts w:hint="eastAsia" w:ascii="微软雅黑" w:hAnsi="微软雅黑" w:eastAsia="微软雅黑"/>
          <w:b/>
          <w:color w:val="595959"/>
          <w:sz w:val="18"/>
          <w:szCs w:val="18"/>
        </w:rPr>
        <w:t>培训收益</w:t>
      </w: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】</w:t>
      </w:r>
      <w:r>
        <w:rPr>
          <w:rFonts w:hint="eastAsia" w:ascii="微软雅黑" w:hAnsi="微软雅黑" w:eastAsia="微软雅黑"/>
          <w:b/>
          <w:color w:val="595959"/>
          <w:sz w:val="18"/>
          <w:szCs w:val="18"/>
        </w:rPr>
        <w:t>：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1、全面系统提升进出口企业人员业务操作技能，撑握进出口各重要环节操作规则与风险！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2、掌握各种单证及结算技巧与方法，预防风险，确保万无一失！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3、选择最佳运输方式和最优运输保险，撑握低价高效运输通关技巧，真正为企业排扰解难！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4、熟悉各种进出口结算方式方法、单据操作、从源头堵截进出口可能发生的损失和危险！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5、掌握出口退税、核销、申报备案、不浪费进出口环节中的每一分钱！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6、掌握进出口活动中各种单据填制与使用技巧，防范进出口单证带来的一切意外！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7、规范企业关务管理，预防通关事务中发生的意外与风险！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8、掌握货物出入境检验检疫、稽查、监管的重点，减少因操作不当造成的不必要的损失和麻烦!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9、掌握签订安全、完整、没有任何风险的外贸合同并顺利完成！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10、提升企业采购、物流及供应链整体操作，优化流程，保护公司整体利益提升企业枋心竞争力；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/>
          <w:color w:val="595959"/>
          <w:sz w:val="18"/>
          <w:szCs w:val="18"/>
        </w:rPr>
        <w:t>【更多收益】：</w:t>
      </w: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国际贸易运作研修班QQ俱乐部：（87131707）</w:t>
      </w:r>
    </w:p>
    <w:p>
      <w:pPr>
        <w:snapToGrid w:val="0"/>
        <w:rPr>
          <w:rFonts w:ascii="微软雅黑" w:hAnsi="微软雅黑" w:eastAsia="微软雅黑"/>
          <w:bCs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凡参加本实战班的学员，在培训结业后，将有资格进入国际贸易运作研修班QQ俱乐部，分享俱乐部超强人脉资源，短期迅速拓展交际网络，获得更多客户。建立广泛的同行高层人脉关系。并可</w:t>
      </w:r>
      <w:r>
        <w:rPr>
          <w:rFonts w:hint="eastAsia" w:ascii="微软雅黑" w:hAnsi="微软雅黑" w:eastAsia="微软雅黑"/>
          <w:b/>
          <w:bCs/>
          <w:color w:val="595959"/>
          <w:sz w:val="18"/>
          <w:szCs w:val="18"/>
        </w:rPr>
        <w:t>免费获得后期工作中实际问题的及时解答，咨询和帮助</w:t>
      </w:r>
      <w:r>
        <w:rPr>
          <w:rFonts w:hint="eastAsia" w:ascii="微软雅黑" w:hAnsi="微软雅黑" w:eastAsia="微软雅黑"/>
          <w:bCs/>
          <w:color w:val="595959"/>
          <w:sz w:val="18"/>
          <w:szCs w:val="18"/>
        </w:rPr>
        <w:t>。使你的外贸工作不再有难题！</w:t>
      </w:r>
    </w:p>
    <w:p>
      <w:pPr>
        <w:snapToGrid w:val="0"/>
        <w:rPr>
          <w:rFonts w:ascii="微软雅黑" w:hAnsi="微软雅黑" w:eastAsia="微软雅黑"/>
          <w:b/>
          <w:color w:val="595959"/>
          <w:sz w:val="18"/>
          <w:szCs w:val="18"/>
        </w:rPr>
      </w:pP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【</w:t>
      </w:r>
      <w:r>
        <w:rPr>
          <w:rFonts w:hint="eastAsia" w:ascii="微软雅黑" w:hAnsi="微软雅黑" w:eastAsia="微软雅黑"/>
          <w:b/>
          <w:color w:val="595959"/>
          <w:sz w:val="18"/>
          <w:szCs w:val="18"/>
        </w:rPr>
        <w:t>课程大纲</w:t>
      </w:r>
      <w:r>
        <w:rPr>
          <w:rFonts w:hint="eastAsia" w:ascii="微软雅黑" w:hAnsi="微软雅黑" w:eastAsia="微软雅黑" w:cs="Arial"/>
          <w:b/>
          <w:bCs/>
          <w:color w:val="595959"/>
          <w:sz w:val="18"/>
          <w:szCs w:val="18"/>
        </w:rPr>
        <w:t>】</w:t>
      </w:r>
      <w:r>
        <w:rPr>
          <w:rFonts w:hint="eastAsia" w:ascii="微软雅黑" w:hAnsi="微软雅黑" w:eastAsia="微软雅黑"/>
          <w:b/>
          <w:color w:val="595959"/>
          <w:sz w:val="18"/>
          <w:szCs w:val="18"/>
        </w:rPr>
        <w:t>：</w:t>
      </w:r>
    </w:p>
    <w:tbl>
      <w:tblPr>
        <w:tblStyle w:val="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815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815" w:type="dxa"/>
            <w:vAlign w:val="top"/>
          </w:tcPr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▼第一讲：贸易术语与报价技巧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1、2010年国际贸易术语解释通则-的运用与风险防范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2、Incoterms2010的主要变化?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3、企业常用贸易术语分析？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4、进口/出口贸易术语的选择与运作技巧。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5、FOB、CFR、CIP的异同和贸易术语的变型运用。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▼第二讲：国际物流运输及单据与保险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 xml:space="preserve">1、海洋运输方式，运价组成与计算技巧，海运提单                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2、航空运输方式，主/分运单，集/分运输运价组成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3、船公司/货代和第三方物流选择技巧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4、国际物流单、证、船、货的管理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5、国际物流风险防范技巧，低价高效运输通关技巧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6、空运、海运、陆运货物运输流程与保险做法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7、国际物流中商品装运、运输单据、运输保险操作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8、保险承保范围、险别、保险条款、保费计算、保单填写、信用保险投保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9、B/L种类填写规范、提货单、提单背书、货代提单、电放流程及注意事项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 第三讲：进出口国际结算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一、结算方式：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1、汇付与托收分析、当事人、种类、汇付业务流程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2、托收含义、当事人、种类、业务流程、性质与作用；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3、信用证的审核与修改及风险点分析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4、信用证当事人、业务流程分析、支付方式的选择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5、信用证作用、特质、内容、种类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6、跟单托收与信用证方式比较、议付与付款</w:t>
            </w:r>
          </w:p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7、</w:t>
            </w: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跟单L/C审核要点、注意事项、修改流程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8、银行保函分析、各种结算方式费用对比与风险分析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9、最新（UCP600）的主要修改之处与案例分析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二、结算工具：</w:t>
            </w:r>
          </w:p>
          <w:p>
            <w:pPr>
              <w:snapToGrid w:val="0"/>
              <w:ind w:left="375" w:leftChars="50" w:hanging="270" w:hangingChars="1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1、汇票定义、内容、种类、份数及应用技巧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2、本票定义、种类、本票与汇票的异同及使用技巧；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3、支票定义、种类、当事人、支票与汇票异同及风险点与防范措施应对；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三、结算单证：</w:t>
            </w:r>
          </w:p>
          <w:p>
            <w:pPr>
              <w:snapToGrid w:val="0"/>
              <w:ind w:left="375" w:leftChars="50" w:hanging="270" w:hangingChars="1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1、金融；运输；保险；商业清关单证；其他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2、结算单证使用与风险防范技巧；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四、进出口收、付、汇注意事项：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1、进口付汇、出口收汇、非贸易项下外汇收付；</w:t>
            </w:r>
          </w:p>
          <w:p>
            <w:pPr>
              <w:snapToGrid w:val="0"/>
              <w:ind w:left="360" w:hanging="360" w:hangingChars="20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五、国际结算中单、证、票关系分析与风险防范问题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 第四讲：外贸单证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1、配额许可证、保险单、信用证、原产地证、发票、箱单、合同、代理协议、外汇核销单、报关单、等其他各种外贸单证的使用和填写及注意技巧和规范：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2、单据的制作标准与审核要点，单证不符的解决办法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 第五讲：出口退税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1、2012年8月1日取消出口核销单及相关政策解读；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2、贸易型与生产型企业及加工贸易退税政策调整及操作；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3、一般纳税人与小规模纳税人；出口退税业务操作流程；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4、出口退税计算及单证要求；单证管理、换汇成本核算；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5、出口报关、外汇核销、预申报备案、正式申报注意事项；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6、顺利出口退税的原则、常见问题、退税时间要求；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7、商品编码的选择、软件的使用技巧；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8、逾期视同内销；放弃出口退税是否合算？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9、进货发票与报关单的对应、远期结汇的退税处理；</w:t>
            </w:r>
          </w:p>
        </w:tc>
        <w:tc>
          <w:tcPr>
            <w:tcW w:w="4678" w:type="dxa"/>
            <w:vAlign w:val="top"/>
          </w:tcPr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▼第六讲：检验、检疫、索赔、不可抗力与仲裁</w:t>
            </w:r>
          </w:p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1、出入境检验检疫的报检流程、检验时间与地点、检验机构、检验证书、检验标准</w:t>
            </w: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 xml:space="preserve">    </w:t>
            </w:r>
          </w:p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2、动植物及制品，运输工具及集装箱检疫</w:t>
            </w:r>
          </w:p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 xml:space="preserve">3、报检单填写，电子报检与转单、H.S编码查询归类 </w:t>
            </w:r>
          </w:p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4、通关单、质检单、产地证等特点、申办时间、申办机构与流程</w:t>
            </w:r>
          </w:p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5、货物熏蒸的申报、实施机构，SGS检验及注意事项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6、索赔、定金罚则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7、争议的解决、仲裁机构的选择、仲裁协议形式和作用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 第七讲：国际客户谈判技巧与合同订立及注意事项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1、寻找海外客户的简便途径及合同订立前的谈判技巧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 xml:space="preserve">2、国际货物运输的方式、单据、装运条款 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3、国际货物买卖的保险条款、险种合理选择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4、商品定价方法、成本核算、佣金折扣及货币选择与汇率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5、进出口合履行、合同条款隐含的风险防范及规避措施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 xml:space="preserve">6、合同订立步骤与生效要件、货、证、船、款各环节衔接 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7、品质、规格、数量、及包装、交货口岸及期限等描述防范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8、贸易术语合理选用及物权控制、风险转移、费用承担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9、出口方开始备货的前提条件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▼第八讲：买卖双方违约及其救济方法及一般原则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 第九讲：海关事务管理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1、海关关税新政策及稽查、监管、估价技巧：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2、进出口报关规定，商品归类，税费计算、减免税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 xml:space="preserve">3、争议与处理 、贸易管制措施；  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4、一般货物、保税货，减免税货，特殊货物的通关技巧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5、电子报关、报检、电子口岸及IC卡，报检企业管理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6、制单结汇、核销、退税办理与报关金额不符的核销技巧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7、保税货物；临时进出口；修理物品；无代价抵偿货物减免税货物；保税仓库的运作管理；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8、卫生检疫与包装证明，原产地证书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9、化学试剂、电池及特殊组合物品、危险品包装性能检验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10、二手设备装运前的预检验及运输通关注意事项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8、海关稽查与企业帐务关系处理技巧；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9、保税物流与供应链管理及税收筹划；</w:t>
            </w:r>
          </w:p>
          <w:p>
            <w:pPr>
              <w:snapToGrid w:val="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10、空运/海运/陆运/进出口流程注意事项</w:t>
            </w:r>
          </w:p>
          <w:p>
            <w:pPr>
              <w:snapToGrid w:val="0"/>
              <w:rPr>
                <w:rFonts w:ascii="微软雅黑" w:hAnsi="微软雅黑" w:eastAsia="微软雅黑"/>
                <w:b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▼ 第十讲：海关新政策与海关估价及稽查新模式分析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1、海关新政策和监管新模式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2、税收优惠政策与监管重点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3、海关估价风险规避及疑难问题分析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4、海关估价风险管理和控制策略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5、海关估价重点和实务操作及风险规避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6、海关特殊监管区域综合应用估价实务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7、进出口企业关务操作及疑难问题处理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8、 采购、销售&amp;货物进出口通关环节常见问题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9、海关稽查应对与企业自查风险规避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10、海关查帐的原因及重点关注事项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11、海关特殊监管区域的最新发展与未来趋势</w:t>
            </w:r>
          </w:p>
          <w:p>
            <w:pPr>
              <w:snapToGrid w:val="0"/>
              <w:ind w:left="450" w:leftChars="43" w:hanging="360" w:hangingChars="20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12、退运、内销征税、放弃、直接核销、销毁、结转出口的操用与应用技巧、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13、企业内部管理与海关监管要求</w:t>
            </w:r>
          </w:p>
          <w:p>
            <w:pPr>
              <w:snapToGrid w:val="0"/>
              <w:ind w:firstLine="90" w:firstLineChars="50"/>
              <w:rPr>
                <w:rFonts w:ascii="微软雅黑" w:hAnsi="微软雅黑" w:eastAsia="微软雅黑"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595959"/>
                <w:sz w:val="18"/>
                <w:szCs w:val="18"/>
              </w:rPr>
              <w:t>14、电子账册管理、备案、报核、优点</w:t>
            </w:r>
          </w:p>
        </w:tc>
      </w:tr>
    </w:tbl>
    <w:p>
      <w:pPr>
        <w:snapToGrid w:val="0"/>
        <w:rPr>
          <w:rFonts w:ascii="微软雅黑" w:hAnsi="微软雅黑" w:eastAsia="微软雅黑"/>
          <w:b/>
          <w:color w:val="595959"/>
          <w:sz w:val="18"/>
          <w:szCs w:val="18"/>
        </w:rPr>
      </w:pPr>
    </w:p>
    <w:p>
      <w:pPr>
        <w:snapToGrid w:val="0"/>
        <w:rPr>
          <w:rFonts w:ascii="微软雅黑" w:hAnsi="微软雅黑" w:eastAsia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/>
          <w:color w:val="595959"/>
          <w:sz w:val="18"/>
          <w:szCs w:val="18"/>
        </w:rPr>
        <w:t>培训形式：</w:t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>现场授课式。培训主要以学员参与和工作经验分享的方式进行，为了确保学习的有效性，将采用讲解、小组讨论、案例分析、现场问答互动，角色扮演和相关游戏活动等综合教学方法，满足不同风格学员的学习要求。严格限制人数35人，按交款顺序，额满不再接受报名。</w:t>
      </w:r>
      <w:bookmarkStart w:id="1" w:name="_GoBack"/>
      <w:bookmarkEnd w:id="1"/>
    </w:p>
    <w:p>
      <w:pPr>
        <w:snapToGrid w:val="0"/>
        <w:rPr>
          <w:rFonts w:ascii="微软雅黑" w:hAnsi="微软雅黑" w:eastAsia="微软雅黑"/>
          <w:color w:val="595959"/>
          <w:sz w:val="18"/>
          <w:szCs w:val="18"/>
        </w:rPr>
      </w:pPr>
    </w:p>
    <w:p>
      <w:pPr>
        <w:snapToGrid w:val="0"/>
        <w:rPr>
          <w:rFonts w:ascii="微软雅黑" w:hAnsi="微软雅黑" w:eastAsia="微软雅黑" w:cs="宋体"/>
          <w:b/>
          <w:color w:val="595959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color w:val="595959"/>
          <w:sz w:val="18"/>
          <w:szCs w:val="18"/>
        </w:rPr>
        <w:t>内训专题：</w:t>
      </w:r>
      <w:r>
        <w:rPr>
          <w:rFonts w:hint="eastAsia" w:ascii="微软雅黑" w:hAnsi="微软雅黑" w:eastAsia="微软雅黑" w:cs="宋体"/>
          <w:color w:val="595959"/>
          <w:sz w:val="18"/>
          <w:szCs w:val="18"/>
        </w:rPr>
        <w:t>（进出口贸易实务、国际运输、出口营销、信用证，国际贸易风险防范、进出口关务管理专题）</w:t>
      </w:r>
    </w:p>
    <w:p>
      <w:pPr>
        <w:snapToGrid w:val="0"/>
        <w:rPr>
          <w:rFonts w:ascii="微软雅黑" w:hAnsi="微软雅黑" w:eastAsia="微软雅黑" w:cs="宋体"/>
          <w:color w:val="595959"/>
          <w:sz w:val="18"/>
          <w:szCs w:val="18"/>
        </w:rPr>
      </w:pPr>
      <w:r>
        <w:rPr>
          <w:rFonts w:hint="eastAsia" w:ascii="微软雅黑" w:hAnsi="微软雅黑" w:eastAsia="微软雅黑" w:cs="宋体"/>
          <w:color w:val="595959"/>
          <w:sz w:val="18"/>
          <w:szCs w:val="18"/>
        </w:rPr>
        <w:t>针对各单位需求、以内训需求为中心、以客户满意为重点、推荐权威专家、设计满意的培训方案、致力于打造专业能力强、业务水平高的管理团队。</w:t>
      </w:r>
    </w:p>
    <w:p>
      <w:pPr>
        <w:snapToGrid w:val="0"/>
        <w:rPr>
          <w:rFonts w:ascii="微软雅黑" w:hAnsi="微软雅黑" w:eastAsia="微软雅黑"/>
          <w:color w:val="595959"/>
          <w:sz w:val="18"/>
          <w:szCs w:val="18"/>
        </w:rPr>
      </w:pPr>
    </w:p>
    <w:p>
      <w:pPr>
        <w:snapToGrid w:val="0"/>
        <w:rPr>
          <w:rFonts w:ascii="微软雅黑" w:hAnsi="微软雅黑" w:eastAsia="微软雅黑"/>
          <w:b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b/>
          <w:color w:val="595959"/>
          <w:sz w:val="18"/>
          <w:szCs w:val="18"/>
        </w:rPr>
        <w:t>优秀讲师：刘希洪：</w:t>
      </w:r>
    </w:p>
    <w:p>
      <w:pPr>
        <w:snapToGrid w:val="0"/>
        <w:rPr>
          <w:rFonts w:ascii="微软雅黑" w:hAnsi="微软雅黑" w:eastAsia="微软雅黑" w:cs="宋体"/>
          <w:color w:val="595959"/>
          <w:sz w:val="18"/>
          <w:szCs w:val="18"/>
          <w:lang w:val="zh-CN"/>
        </w:rPr>
      </w:pPr>
      <w:r>
        <w:rPr>
          <w:rFonts w:hint="eastAsia" w:ascii="微软雅黑" w:hAnsi="微软雅黑" w:eastAsia="微软雅黑"/>
          <w:color w:val="595959"/>
          <w:sz w:val="18"/>
          <w:szCs w:val="18"/>
        </w:rPr>
        <w:t>国际贸易运作高级研修班长期专职培训师，国际著名企业实战派外贸专家教授、杰出外贸企业家、</w:t>
      </w:r>
      <w:r>
        <w:rPr>
          <w:rFonts w:hint="eastAsia" w:ascii="微软雅黑" w:hAnsi="微软雅黑" w:eastAsia="微软雅黑" w:cs="宋体"/>
          <w:color w:val="595959"/>
          <w:sz w:val="18"/>
          <w:szCs w:val="18"/>
          <w:lang w:val="zh-CN"/>
        </w:rPr>
        <w:t>进出口贸易、国际运输、海关事务及物流方面的资深专家，</w:t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>Ocean-star Logistics总经理，西安世商管理咨询有限公司总经理。香港理工大学国际航运及物流管理理学硕士，天津大学管理学院客座讲师，注册管理咨询师，英国国际专业管理公会(IPMA)授证资深培训师，联合国贸发组织、ITC、国际采购及供应链管理资格认证特聘讲师。</w:t>
      </w:r>
      <w:r>
        <w:rPr>
          <w:rFonts w:hint="eastAsia" w:ascii="微软雅黑" w:hAnsi="微软雅黑" w:eastAsia="微软雅黑" w:cs="宋体"/>
          <w:color w:val="595959"/>
          <w:sz w:val="18"/>
          <w:szCs w:val="18"/>
          <w:lang w:val="zh-CN"/>
        </w:rPr>
        <w:t>曾任职中外运、机械进出口总公司、天</w:t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>津港、天狮等多家中外企业高管，</w:t>
      </w:r>
      <w:r>
        <w:rPr>
          <w:rFonts w:hint="eastAsia" w:ascii="微软雅黑" w:hAnsi="微软雅黑" w:eastAsia="微软雅黑" w:cs="宋体"/>
          <w:color w:val="595959"/>
          <w:sz w:val="18"/>
          <w:szCs w:val="18"/>
          <w:lang w:val="zh-CN"/>
        </w:rPr>
        <w:t>几十年来从事外贸、报关、物流的工作，使刘老师业务精通、经验丰富。擅长国际贸易、谈判、海关事务、国际运输、物流实务。目前担任商务部培训中心、劳动部培训中心、中国交通运输协会高级培训师。长期的培训与咨询工作，为刘老师积累了各种行业的进出口实务操作经验。</w:t>
      </w:r>
    </w:p>
    <w:p>
      <w:pPr>
        <w:snapToGrid w:val="0"/>
        <w:rPr>
          <w:rFonts w:ascii="微软雅黑" w:hAnsi="微软雅黑" w:eastAsia="微软雅黑" w:cs="宋体"/>
          <w:color w:val="595959"/>
          <w:sz w:val="18"/>
          <w:szCs w:val="18"/>
        </w:rPr>
      </w:pP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b/>
          <w:color w:val="595959"/>
          <w:w w:val="110"/>
          <w:kern w:val="0"/>
          <w:sz w:val="18"/>
          <w:szCs w:val="18"/>
        </w:rPr>
      </w:pPr>
      <w:bookmarkStart w:id="0" w:name="OLE_LINK1"/>
      <w:r>
        <w:rPr>
          <w:rFonts w:hint="eastAsia" w:ascii="微软雅黑" w:hAnsi="微软雅黑" w:eastAsia="微软雅黑"/>
          <w:b/>
          <w:color w:val="595959"/>
          <w:w w:val="110"/>
          <w:kern w:val="0"/>
          <w:sz w:val="18"/>
          <w:szCs w:val="18"/>
        </w:rPr>
        <w:t>报 名 回 执 表</w:t>
      </w:r>
    </w:p>
    <w:tbl>
      <w:tblPr>
        <w:tblStyle w:val="9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53" w:hRule="atLeast"/>
          <w:jc w:val="center"/>
        </w:trPr>
        <w:tc>
          <w:tcPr>
            <w:tcW w:w="91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kern w:val="0"/>
                <w:sz w:val="18"/>
                <w:szCs w:val="18"/>
              </w:rPr>
              <w:t>报名回执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请发到：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  <w:lang w:val="en-US" w:eastAsia="zh-CN"/>
              </w:rPr>
              <w:t>18911597778@126.com</w:t>
            </w:r>
            <w:r>
              <w:rPr>
                <w:rFonts w:ascii="微软雅黑" w:hAnsi="微软雅黑" w:eastAsia="微软雅黑"/>
                <w:color w:val="595959"/>
                <w:sz w:val="18"/>
                <w:szCs w:val="18"/>
              </w:rPr>
              <w:t xml:space="preserve">                   </w:t>
            </w:r>
            <w:r>
              <w:rPr>
                <w:rFonts w:hint="eastAsia" w:ascii="微软雅黑" w:hAnsi="微软雅黑" w:eastAsia="微软雅黑" w:cs="Arial"/>
                <w:color w:val="595959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color w:val="595959"/>
                <w:kern w:val="0"/>
                <w:sz w:val="18"/>
                <w:szCs w:val="18"/>
                <w:lang w:val="en-US" w:eastAsia="zh-CN"/>
              </w:rPr>
              <w:t>18911597778</w:t>
            </w:r>
            <w:r>
              <w:rPr>
                <w:rFonts w:ascii="微软雅黑" w:hAnsi="微软雅黑" w:eastAsia="微软雅黑" w:cs="Arial"/>
                <w:color w:val="595959"/>
                <w:kern w:val="0"/>
                <w:sz w:val="18"/>
                <w:szCs w:val="18"/>
              </w:rPr>
              <w:t xml:space="preserve"> 张</w:t>
            </w:r>
            <w:r>
              <w:rPr>
                <w:rFonts w:hint="eastAsia" w:ascii="微软雅黑" w:hAnsi="微软雅黑" w:eastAsia="微软雅黑" w:cs="Arial"/>
                <w:color w:val="595959"/>
                <w:kern w:val="0"/>
                <w:sz w:val="18"/>
                <w:szCs w:val="18"/>
                <w:lang w:val="en-US" w:eastAsia="zh-CN"/>
              </w:rPr>
              <w:t>磊</w:t>
            </w:r>
            <w:r>
              <w:rPr>
                <w:rFonts w:hint="eastAsia" w:ascii="微软雅黑" w:hAnsi="微软雅黑" w:eastAsia="微软雅黑" w:cs="Arial"/>
                <w:color w:val="595959"/>
                <w:kern w:val="0"/>
                <w:sz w:val="18"/>
                <w:szCs w:val="18"/>
              </w:rPr>
              <w:t>（会务组收）</w:t>
            </w:r>
          </w:p>
          <w:p>
            <w:pPr>
              <w:snapToGrid w:val="0"/>
              <w:ind w:firstLine="360" w:firstLineChars="200"/>
              <w:rPr>
                <w:rFonts w:ascii="微软雅黑" w:hAnsi="微软雅黑" w:eastAsia="微软雅黑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我单位共</w:t>
            </w:r>
            <w:r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  <w:t xml:space="preserve"> ___ 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人确定报名参加</w:t>
            </w:r>
            <w:r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5年</w:t>
            </w:r>
            <w:r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  <w:t>_ _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月</w:t>
            </w:r>
            <w:r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  <w:t xml:space="preserve">__  _ 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日在</w:t>
            </w:r>
            <w:r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  <w:t xml:space="preserve"> __     _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举办的《国际贸易实务运作研修班》培训班。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9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E-mail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9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90" w:firstLineChars="5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部门/职务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60" w:firstLineChars="20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260" w:firstLineChars="70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9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71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kern w:val="0"/>
                <w:sz w:val="18"/>
                <w:szCs w:val="18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□电汇 □现金 □支票 付款总金额</w:t>
            </w: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  <w:u w:val="single"/>
              </w:rPr>
              <w:t xml:space="preserve">：          </w:t>
            </w: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 xml:space="preserve"> （培训费、资料、讲义、合影、午餐、饮料、茶点）                                      </w:t>
            </w:r>
            <w:r>
              <w:rPr>
                <w:rFonts w:hint="eastAsia" w:ascii="微软雅黑" w:hAnsi="微软雅黑" w:eastAsia="微软雅黑" w:cs="Times New Roman"/>
                <w:b/>
                <w:color w:val="595959"/>
                <w:kern w:val="0"/>
                <w:sz w:val="18"/>
                <w:szCs w:val="18"/>
                <w:lang w:val="en-US" w:eastAsia="zh-CN" w:bidi="ar-SA"/>
              </w:rPr>
              <w:pict>
                <v:shape id="图片 6" o:spid="_x0000_s1026" type="#_x0000_t75" style="position:absolute;left:0;margin-left:244.7pt;margin-top:5.75pt;height:114.75pt;width:121.5pt;rotation:0f;z-index:-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91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kern w:val="0"/>
                <w:sz w:val="18"/>
                <w:szCs w:val="18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预定：双人房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  <w:u w:val="single"/>
              </w:rPr>
              <w:t>___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间；单人房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  <w:u w:val="single"/>
              </w:rPr>
              <w:t>___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间，住宿时间：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  <w:u w:val="single"/>
              </w:rPr>
              <w:t>__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 xml:space="preserve"> 月 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  <w:u w:val="single"/>
              </w:rPr>
              <w:t>__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 xml:space="preserve"> 至 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  <w:u w:val="single"/>
              </w:rPr>
              <w:t>__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 xml:space="preserve"> 日(不用预定请留空)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63" w:hRule="atLeast"/>
          <w:jc w:val="center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sz w:val="18"/>
                <w:szCs w:val="18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rPr>
                <w:rFonts w:ascii="微软雅黑" w:hAnsi="微软雅黑" w:eastAsia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595959"/>
                <w:kern w:val="0"/>
                <w:sz w:val="18"/>
                <w:szCs w:val="18"/>
              </w:rPr>
              <w:t>培训费用：</w:t>
            </w:r>
            <w:r>
              <w:rPr>
                <w:rFonts w:hint="eastAsia" w:ascii="微软雅黑" w:hAnsi="微软雅黑" w:eastAsia="微软雅黑"/>
                <w:color w:val="595959"/>
                <w:kern w:val="0"/>
                <w:sz w:val="18"/>
                <w:szCs w:val="18"/>
              </w:rPr>
              <w:t>￥4980元 /人(含资料、讲义、结业证书、茶歇、午餐等)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开户名：西安世商管理咨询有限公司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开户行：华夏银行西安经济技术开发区支行</w:t>
            </w:r>
          </w:p>
          <w:p>
            <w:pPr>
              <w:snapToGrid w:val="0"/>
              <w:rPr>
                <w:rFonts w:ascii="微软雅黑" w:hAnsi="微软雅黑" w:eastAsia="微软雅黑"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595959"/>
                <w:sz w:val="18"/>
                <w:szCs w:val="18"/>
              </w:rPr>
              <w:t>账  户：5631 2000 0181 0200 0181 35</w:t>
            </w:r>
          </w:p>
        </w:tc>
      </w:tr>
    </w:tbl>
    <w:p>
      <w:pPr>
        <w:tabs>
          <w:tab w:val="left" w:pos="6855"/>
        </w:tabs>
        <w:snapToGrid w:val="0"/>
        <w:jc w:val="left"/>
        <w:rPr>
          <w:rFonts w:ascii="微软雅黑" w:hAnsi="微软雅黑" w:eastAsia="微软雅黑" w:cs="Arial"/>
          <w:b/>
          <w:bCs/>
          <w:color w:val="595959"/>
          <w:sz w:val="18"/>
          <w:szCs w:val="18"/>
        </w:rPr>
      </w:pPr>
    </w:p>
    <w:p>
      <w:pPr>
        <w:widowControl/>
        <w:snapToGrid w:val="0"/>
        <w:jc w:val="left"/>
        <w:rPr>
          <w:rFonts w:ascii="微软雅黑" w:hAnsi="微软雅黑" w:eastAsia="微软雅黑"/>
          <w:color w:val="595959"/>
          <w:sz w:val="18"/>
          <w:szCs w:val="18"/>
        </w:rPr>
      </w:pPr>
      <w:r>
        <w:rPr>
          <w:rFonts w:hint="eastAsia" w:ascii="微软雅黑" w:hAnsi="微软雅黑" w:eastAsia="微软雅黑"/>
          <w:color w:val="595959"/>
          <w:sz w:val="18"/>
          <w:szCs w:val="18"/>
        </w:rPr>
        <w:tab/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 xml:space="preserve">    </w:t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ab/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 xml:space="preserve">      </w:t>
      </w:r>
      <w:r>
        <w:rPr>
          <w:rFonts w:hint="eastAsia" w:ascii="微软雅黑" w:hAnsi="微软雅黑" w:eastAsia="微软雅黑"/>
          <w:color w:val="595959"/>
          <w:sz w:val="18"/>
          <w:szCs w:val="18"/>
        </w:rPr>
        <w:tab/>
      </w:r>
      <w:bookmarkEnd w:id="0"/>
    </w:p>
    <w:sectPr>
      <w:pgSz w:w="11906" w:h="16838"/>
      <w:pgMar w:top="1440" w:right="991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思源黑体 CN ExtraLight">
    <w:altName w:val="黑体"/>
    <w:panose1 w:val="00000000000000000000"/>
    <w:charset w:val="86"/>
    <w:family w:val="auto"/>
    <w:pitch w:val="default"/>
    <w:sig w:usb0="00000000" w:usb1="2ADF3C10" w:usb2="00000016" w:usb3="00000000" w:csb0="00060107" w:csb1="00000000"/>
  </w:font>
  <w:font w:name="微软雅黑">
    <w:altName w:val="黑体"/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E5514"/>
    <w:rsid w:val="00014DDC"/>
    <w:rsid w:val="00017AD9"/>
    <w:rsid w:val="000223D5"/>
    <w:rsid w:val="00034908"/>
    <w:rsid w:val="000437D0"/>
    <w:rsid w:val="0006572C"/>
    <w:rsid w:val="00071DFF"/>
    <w:rsid w:val="00074925"/>
    <w:rsid w:val="00080829"/>
    <w:rsid w:val="000821A5"/>
    <w:rsid w:val="00084383"/>
    <w:rsid w:val="00092F90"/>
    <w:rsid w:val="00094C94"/>
    <w:rsid w:val="000A43A7"/>
    <w:rsid w:val="000A7CDD"/>
    <w:rsid w:val="000B042E"/>
    <w:rsid w:val="000B6683"/>
    <w:rsid w:val="000E7777"/>
    <w:rsid w:val="000F7A5A"/>
    <w:rsid w:val="00107082"/>
    <w:rsid w:val="00115308"/>
    <w:rsid w:val="00123974"/>
    <w:rsid w:val="00127B94"/>
    <w:rsid w:val="001422AC"/>
    <w:rsid w:val="00150E8F"/>
    <w:rsid w:val="00162240"/>
    <w:rsid w:val="0019368B"/>
    <w:rsid w:val="00197100"/>
    <w:rsid w:val="001C3564"/>
    <w:rsid w:val="001C5CEA"/>
    <w:rsid w:val="001C60ED"/>
    <w:rsid w:val="001D5700"/>
    <w:rsid w:val="001E5156"/>
    <w:rsid w:val="001E7177"/>
    <w:rsid w:val="001F5E0B"/>
    <w:rsid w:val="00214A99"/>
    <w:rsid w:val="0022107E"/>
    <w:rsid w:val="002218CA"/>
    <w:rsid w:val="002220DD"/>
    <w:rsid w:val="0023104D"/>
    <w:rsid w:val="00241F36"/>
    <w:rsid w:val="0025188E"/>
    <w:rsid w:val="00295CFD"/>
    <w:rsid w:val="002A1473"/>
    <w:rsid w:val="002A332F"/>
    <w:rsid w:val="002A6E90"/>
    <w:rsid w:val="002D628C"/>
    <w:rsid w:val="002E2367"/>
    <w:rsid w:val="002F407C"/>
    <w:rsid w:val="00304BCD"/>
    <w:rsid w:val="003140D6"/>
    <w:rsid w:val="0032052F"/>
    <w:rsid w:val="00330765"/>
    <w:rsid w:val="00334B2B"/>
    <w:rsid w:val="00336C92"/>
    <w:rsid w:val="00347EE9"/>
    <w:rsid w:val="00350DFD"/>
    <w:rsid w:val="003607AD"/>
    <w:rsid w:val="0037293B"/>
    <w:rsid w:val="00372BD9"/>
    <w:rsid w:val="00380843"/>
    <w:rsid w:val="00382FCB"/>
    <w:rsid w:val="00391B46"/>
    <w:rsid w:val="003B1B75"/>
    <w:rsid w:val="003C1F25"/>
    <w:rsid w:val="003C3DCF"/>
    <w:rsid w:val="003C41A3"/>
    <w:rsid w:val="003C4776"/>
    <w:rsid w:val="003D2DD8"/>
    <w:rsid w:val="003D3B22"/>
    <w:rsid w:val="003D7CDF"/>
    <w:rsid w:val="003E427E"/>
    <w:rsid w:val="003E464E"/>
    <w:rsid w:val="003F794E"/>
    <w:rsid w:val="00416217"/>
    <w:rsid w:val="00461684"/>
    <w:rsid w:val="00462050"/>
    <w:rsid w:val="00484CB8"/>
    <w:rsid w:val="004903D5"/>
    <w:rsid w:val="004A019A"/>
    <w:rsid w:val="004A338F"/>
    <w:rsid w:val="004A49B8"/>
    <w:rsid w:val="004F1ED0"/>
    <w:rsid w:val="0054366E"/>
    <w:rsid w:val="0054762D"/>
    <w:rsid w:val="005619C8"/>
    <w:rsid w:val="00566506"/>
    <w:rsid w:val="00577CC2"/>
    <w:rsid w:val="00594A48"/>
    <w:rsid w:val="005E033D"/>
    <w:rsid w:val="005E5514"/>
    <w:rsid w:val="00632B44"/>
    <w:rsid w:val="00653A69"/>
    <w:rsid w:val="00660F54"/>
    <w:rsid w:val="006627A5"/>
    <w:rsid w:val="006640DF"/>
    <w:rsid w:val="0066549C"/>
    <w:rsid w:val="00667FEF"/>
    <w:rsid w:val="00676598"/>
    <w:rsid w:val="00683740"/>
    <w:rsid w:val="0068489A"/>
    <w:rsid w:val="00687650"/>
    <w:rsid w:val="006A6559"/>
    <w:rsid w:val="006C1A3F"/>
    <w:rsid w:val="006D22C5"/>
    <w:rsid w:val="006D54F7"/>
    <w:rsid w:val="006E08FD"/>
    <w:rsid w:val="006F21DE"/>
    <w:rsid w:val="0071144F"/>
    <w:rsid w:val="00730A96"/>
    <w:rsid w:val="00735E88"/>
    <w:rsid w:val="00757A3E"/>
    <w:rsid w:val="00772132"/>
    <w:rsid w:val="00773ABB"/>
    <w:rsid w:val="00777DA3"/>
    <w:rsid w:val="00783AFE"/>
    <w:rsid w:val="007B024D"/>
    <w:rsid w:val="007B0486"/>
    <w:rsid w:val="007B14DC"/>
    <w:rsid w:val="007B5BD1"/>
    <w:rsid w:val="007C0897"/>
    <w:rsid w:val="007C6CCB"/>
    <w:rsid w:val="007C79A2"/>
    <w:rsid w:val="007D56E0"/>
    <w:rsid w:val="007E49F6"/>
    <w:rsid w:val="007F017F"/>
    <w:rsid w:val="0080551F"/>
    <w:rsid w:val="008204C7"/>
    <w:rsid w:val="008242CD"/>
    <w:rsid w:val="00825FC4"/>
    <w:rsid w:val="0086124C"/>
    <w:rsid w:val="008760A6"/>
    <w:rsid w:val="008A5F19"/>
    <w:rsid w:val="009111E6"/>
    <w:rsid w:val="00916061"/>
    <w:rsid w:val="00916887"/>
    <w:rsid w:val="009178FF"/>
    <w:rsid w:val="00923BD3"/>
    <w:rsid w:val="00967884"/>
    <w:rsid w:val="00975A2C"/>
    <w:rsid w:val="009944B4"/>
    <w:rsid w:val="009A1219"/>
    <w:rsid w:val="00A22958"/>
    <w:rsid w:val="00A33B88"/>
    <w:rsid w:val="00A50F34"/>
    <w:rsid w:val="00A51681"/>
    <w:rsid w:val="00A77BD3"/>
    <w:rsid w:val="00A978AE"/>
    <w:rsid w:val="00AB3765"/>
    <w:rsid w:val="00AB4FA5"/>
    <w:rsid w:val="00AC319F"/>
    <w:rsid w:val="00AC6D98"/>
    <w:rsid w:val="00AE1A40"/>
    <w:rsid w:val="00B3421A"/>
    <w:rsid w:val="00B4235C"/>
    <w:rsid w:val="00B43799"/>
    <w:rsid w:val="00B473AF"/>
    <w:rsid w:val="00B51350"/>
    <w:rsid w:val="00B75764"/>
    <w:rsid w:val="00B75D9A"/>
    <w:rsid w:val="00B77A97"/>
    <w:rsid w:val="00B86176"/>
    <w:rsid w:val="00B956DD"/>
    <w:rsid w:val="00BA184B"/>
    <w:rsid w:val="00BD5752"/>
    <w:rsid w:val="00BE58D2"/>
    <w:rsid w:val="00BE6551"/>
    <w:rsid w:val="00BF05EC"/>
    <w:rsid w:val="00BF7B5B"/>
    <w:rsid w:val="00BF7C54"/>
    <w:rsid w:val="00C05188"/>
    <w:rsid w:val="00C228E7"/>
    <w:rsid w:val="00C3793E"/>
    <w:rsid w:val="00C41644"/>
    <w:rsid w:val="00C50F59"/>
    <w:rsid w:val="00C52829"/>
    <w:rsid w:val="00C537CB"/>
    <w:rsid w:val="00C60742"/>
    <w:rsid w:val="00C81238"/>
    <w:rsid w:val="00C81B9E"/>
    <w:rsid w:val="00C824F6"/>
    <w:rsid w:val="00CB17E1"/>
    <w:rsid w:val="00CB2DCB"/>
    <w:rsid w:val="00CC23B7"/>
    <w:rsid w:val="00CC487E"/>
    <w:rsid w:val="00CC4D33"/>
    <w:rsid w:val="00CC59EA"/>
    <w:rsid w:val="00CD7022"/>
    <w:rsid w:val="00CE5917"/>
    <w:rsid w:val="00CF333B"/>
    <w:rsid w:val="00CF49F7"/>
    <w:rsid w:val="00D05E60"/>
    <w:rsid w:val="00D105A7"/>
    <w:rsid w:val="00D12224"/>
    <w:rsid w:val="00D32C3C"/>
    <w:rsid w:val="00D349EF"/>
    <w:rsid w:val="00D63786"/>
    <w:rsid w:val="00D66C30"/>
    <w:rsid w:val="00D93D0F"/>
    <w:rsid w:val="00DA03B2"/>
    <w:rsid w:val="00DA367C"/>
    <w:rsid w:val="00DA5ED4"/>
    <w:rsid w:val="00DB77C2"/>
    <w:rsid w:val="00DC07DB"/>
    <w:rsid w:val="00DC5A77"/>
    <w:rsid w:val="00DE31E4"/>
    <w:rsid w:val="00E13C4A"/>
    <w:rsid w:val="00E31845"/>
    <w:rsid w:val="00E3314B"/>
    <w:rsid w:val="00E42C26"/>
    <w:rsid w:val="00E47DB4"/>
    <w:rsid w:val="00E621A9"/>
    <w:rsid w:val="00E63F0D"/>
    <w:rsid w:val="00EA7A14"/>
    <w:rsid w:val="00EC32F2"/>
    <w:rsid w:val="00ED49DD"/>
    <w:rsid w:val="00EE3C54"/>
    <w:rsid w:val="00F2041F"/>
    <w:rsid w:val="00F23C9A"/>
    <w:rsid w:val="00F4176F"/>
    <w:rsid w:val="00F61001"/>
    <w:rsid w:val="00F76882"/>
    <w:rsid w:val="00F81CC4"/>
    <w:rsid w:val="00FA4C2C"/>
    <w:rsid w:val="00FA720E"/>
    <w:rsid w:val="00FD44A3"/>
    <w:rsid w:val="650939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11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2">
    <w:name w:val="页眉 Char"/>
    <w:link w:val="5"/>
    <w:uiPriority w:val="99"/>
    <w:rPr>
      <w:sz w:val="18"/>
      <w:szCs w:val="18"/>
    </w:rPr>
  </w:style>
  <w:style w:type="character" w:customStyle="1" w:styleId="13">
    <w:name w:val="页脚 Char"/>
    <w:link w:val="4"/>
    <w:uiPriority w:val="99"/>
    <w:rPr>
      <w:sz w:val="18"/>
      <w:szCs w:val="18"/>
    </w:rPr>
  </w:style>
  <w:style w:type="character" w:customStyle="1" w:styleId="14">
    <w:name w:val="批注框文本 Char"/>
    <w:link w:val="3"/>
    <w:semiHidden/>
    <w:uiPriority w:val="99"/>
    <w:rPr>
      <w:sz w:val="18"/>
      <w:szCs w:val="18"/>
    </w:rPr>
  </w:style>
  <w:style w:type="character" w:customStyle="1" w:styleId="15">
    <w:name w:val="日期 Char"/>
    <w:basedOn w:val="6"/>
    <w:link w:val="2"/>
    <w:semiHidden/>
    <w:uiPriority w:val="99"/>
    <w:rPr/>
  </w:style>
  <w:style w:type="character" w:customStyle="1" w:styleId="16">
    <w:name w:val="apple-style-span"/>
    <w:basedOn w:val="6"/>
    <w:uiPriority w:val="0"/>
    <w:rPr/>
  </w:style>
  <w:style w:type="table" w:customStyle="1" w:styleId="17">
    <w:name w:val="中等深浅列表 2 - 强调文字颜色 31"/>
    <w:basedOn w:val="9"/>
    <w:uiPriority w:val="66"/>
    <w:pPr/>
    <w:rPr>
      <w:rFonts w:ascii="Cambria" w:hAnsi="Cambria"/>
      <w:color w:val="000000"/>
    </w:rPr>
    <w:tblPr>
      <w:tblStyle w:val="9"/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Layout w:type="fixed"/>
    </w:tblPr>
    <w:tcPr>
      <w:textDirection w:val="lrTb"/>
    </w:tcPr>
    <w:tblStylePr w:type="firstRow">
      <w:rPr>
        <w:sz w:val="24"/>
        <w:szCs w:val="24"/>
      </w:rPr>
      <w:tblPr>
        <w:tblStyle w:val="9"/>
        <w:tblLayout w:type="fixed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tblPr>
        <w:tblStyle w:val="9"/>
        <w:tblLayout w:type="fixed"/>
      </w:tblPr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tblPr>
        <w:tblStyle w:val="9"/>
        <w:tblLayout w:type="fixed"/>
      </w:tblPr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Col">
      <w:tblPr>
        <w:tblStyle w:val="9"/>
        <w:tblLayout w:type="fixed"/>
      </w:tblPr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band1Vert"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  <w:textDirection w:val="lrTb"/>
      </w:tcPr>
    </w:tblStylePr>
    <w:tblStylePr w:type="band1Horz"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  <w:textDirection w:val="lrTb"/>
      </w:tcPr>
    </w:tblStylePr>
    <w:tblStylePr w:type="nwCell">
      <w:tblPr>
        <w:tblStyle w:val="9"/>
        <w:tblLayout w:type="fixed"/>
      </w:tblPr>
      <w:tcPr>
        <w:shd w:val="clear" w:color="auto" w:fill="FFFFFF"/>
        <w:textDirection w:val="lrTb"/>
      </w:tcPr>
    </w:tblStylePr>
    <w:tblStylePr w:type="swCell"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18">
    <w:name w:val="中等深浅网格 2 - 强调文字颜色 51"/>
    <w:basedOn w:val="9"/>
    <w:uiPriority w:val="68"/>
    <w:pPr/>
    <w:rPr>
      <w:rFonts w:ascii="Cambria" w:hAnsi="Cambria"/>
      <w:color w:val="000000"/>
    </w:rPr>
    <w:tblPr>
      <w:tblStyle w:val="9"/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</w:tblPr>
    <w:tcPr>
      <w:shd w:val="clear" w:color="auto" w:fill="D2EAF1"/>
    </w:tcPr>
    <w:tblStylePr w:type="firstRow">
      <w:rPr>
        <w:b/>
        <w:bCs/>
        <w:color w:val="000000"/>
      </w:rPr>
      <w:tblPr>
        <w:tblStyle w:val="9"/>
        <w:tblLayout w:type="fixed"/>
      </w:tblPr>
      <w:tcPr>
        <w:shd w:val="clear" w:color="auto" w:fill="EDF6F9"/>
        <w:textDirection w:val="lrTb"/>
      </w:tcPr>
    </w:tblStylePr>
    <w:tblStylePr w:type="lastRow">
      <w:rPr>
        <w:b/>
        <w:bCs/>
        <w:color w:val="000000"/>
      </w:rPr>
      <w:tblPr>
        <w:tblStyle w:val="9"/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000000"/>
      </w:rPr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Col">
      <w:rPr>
        <w:b w:val="0"/>
        <w:bCs w:val="0"/>
        <w:color w:val="000000"/>
      </w:rPr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EF3"/>
        <w:textDirection w:val="lrTb"/>
      </w:tcPr>
    </w:tblStylePr>
    <w:tblStylePr w:type="band1Vert">
      <w:tblPr>
        <w:tblStyle w:val="9"/>
        <w:tblLayout w:type="fixed"/>
      </w:tblPr>
      <w:tcPr>
        <w:shd w:val="clear" w:color="auto" w:fill="A5D5E2"/>
        <w:textDirection w:val="lrTb"/>
      </w:tcPr>
    </w:tblStylePr>
    <w:tblStylePr w:type="band1Horz">
      <w:tblPr>
        <w:tblStyle w:val="9"/>
        <w:tblLayout w:type="fixed"/>
      </w:tblPr>
      <w:tcPr>
        <w:shd w:val="clear" w:color="auto" w:fill="A5D5E2"/>
        <w:textDirection w:val="lrTb"/>
      </w:tcPr>
    </w:tblStylePr>
    <w:tblStylePr w:type="nwCell">
      <w:tblPr>
        <w:tblStyle w:val="9"/>
        <w:tblLayout w:type="fixed"/>
      </w:tblPr>
      <w:tcPr>
        <w:shd w:val="clear" w:color="auto" w:fill="FFFFFF"/>
        <w:textDirection w:val="lrTb"/>
      </w:tcPr>
    </w:tblStylePr>
  </w:style>
  <w:style w:type="table" w:customStyle="1" w:styleId="19">
    <w:name w:val="中等深浅列表 2 - 强调文字颜色 11"/>
    <w:basedOn w:val="9"/>
    <w:uiPriority w:val="66"/>
    <w:pPr/>
    <w:rPr>
      <w:rFonts w:ascii="Cambria" w:hAnsi="Cambria"/>
      <w:color w:val="000000"/>
    </w:rPr>
    <w:tblPr>
      <w:tblStyle w:val="9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blStylePr w:type="firstRow">
      <w:rPr>
        <w:sz w:val="24"/>
        <w:szCs w:val="24"/>
      </w:rPr>
      <w:tblPr>
        <w:tblStyle w:val="9"/>
        <w:tblLayout w:type="fixed"/>
      </w:tbl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Row">
      <w:tblPr>
        <w:tblStyle w:val="9"/>
        <w:tblLayout w:type="fixed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tblPr>
        <w:tblStyle w:val="9"/>
        <w:tblLayout w:type="fixed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lastCol">
      <w:tblPr>
        <w:tblStyle w:val="9"/>
        <w:tblLayout w:type="fixed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band1Vert"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nwCell">
      <w:tblPr>
        <w:tblStyle w:val="9"/>
        <w:tblLayout w:type="fixed"/>
      </w:tblPr>
      <w:tcPr>
        <w:shd w:val="clear" w:color="auto" w:fill="FFFFFF"/>
        <w:textDirection w:val="lrTb"/>
      </w:tcPr>
    </w:tblStylePr>
    <w:tblStylePr w:type="swCell">
      <w:tblPr>
        <w:tblStyle w:val="9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672</Words>
  <Characters>3831</Characters>
  <Lines>31</Lines>
  <Paragraphs>8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2014-11-17T08:15:00Z</dcterms:created>
  <dc:creator>西安世商管理咨询</dc:creator>
  <cp:lastModifiedBy>Administrator</cp:lastModifiedBy>
  <dcterms:modified xsi:type="dcterms:W3CDTF">2015-10-12T07:01:23Z</dcterms:modified>
  <dc:subject>国际贸易培训</dc:subject>
  <dc:title>国际贸易实务运作研修班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